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CF94" w14:textId="2E07A96E" w:rsidR="00C000BD" w:rsidRPr="0039581C" w:rsidRDefault="00717037" w:rsidP="00717037">
      <w:pPr>
        <w:pStyle w:val="NoSpacing"/>
        <w:rPr>
          <w:rFonts w:ascii="Helvetica" w:hAnsi="Helvetica" w:cs="Helvetica"/>
          <w:b/>
          <w:bCs/>
          <w:u w:val="single"/>
          <w:lang w:val="en-US"/>
        </w:rPr>
      </w:pPr>
      <w:bookmarkStart w:id="0" w:name="_Hlk100227219"/>
      <w:r w:rsidRPr="0039581C">
        <w:rPr>
          <w:rFonts w:ascii="Helvetica" w:hAnsi="Helvetica" w:cs="Helvetica"/>
          <w:b/>
          <w:bCs/>
          <w:u w:val="single"/>
          <w:lang w:val="en-US"/>
        </w:rPr>
        <w:t>EVERGREEN LIFESTYLE VILLAGE</w:t>
      </w:r>
      <w:r w:rsidR="00C000BD">
        <w:rPr>
          <w:rFonts w:ascii="Helvetica" w:hAnsi="Helvetica" w:cs="Helvetica"/>
          <w:b/>
          <w:bCs/>
          <w:u w:val="single"/>
          <w:lang w:val="en-US"/>
        </w:rPr>
        <w:t xml:space="preserve"> - MUIZENBERG</w:t>
      </w:r>
    </w:p>
    <w:p w14:paraId="359940BC" w14:textId="77777777" w:rsidR="00717037" w:rsidRPr="0039581C" w:rsidRDefault="00717037" w:rsidP="00717037">
      <w:pPr>
        <w:pStyle w:val="NoSpacing"/>
        <w:rPr>
          <w:rFonts w:ascii="Helvetica" w:hAnsi="Helvetica" w:cs="Helvetica"/>
          <w:lang w:val="en-US"/>
        </w:rPr>
      </w:pPr>
      <w:r w:rsidRPr="0039581C">
        <w:rPr>
          <w:rFonts w:ascii="Helvetica" w:hAnsi="Helvetica" w:cs="Helvetica"/>
          <w:b/>
          <w:bCs/>
          <w:u w:val="single"/>
          <w:lang w:val="en-US"/>
        </w:rPr>
        <w:t>BUDGET FY2023</w:t>
      </w:r>
    </w:p>
    <w:p w14:paraId="53553A4C" w14:textId="77777777" w:rsidR="00717037" w:rsidRPr="0039581C" w:rsidRDefault="00717037" w:rsidP="00717037">
      <w:pPr>
        <w:pStyle w:val="NoSpacing"/>
        <w:rPr>
          <w:rFonts w:ascii="Helvetica" w:hAnsi="Helvetica" w:cs="Helvetica"/>
          <w:lang w:val="en-US"/>
        </w:rPr>
      </w:pPr>
    </w:p>
    <w:p w14:paraId="07AA52D3" w14:textId="77777777" w:rsidR="00717037" w:rsidRPr="0039581C" w:rsidRDefault="00717037" w:rsidP="00717037">
      <w:pPr>
        <w:pStyle w:val="NoSpacing"/>
        <w:rPr>
          <w:rFonts w:ascii="Helvetica" w:hAnsi="Helvetica" w:cs="Helvetica"/>
          <w:lang w:val="en-US"/>
        </w:rPr>
      </w:pPr>
      <w:r w:rsidRPr="0039581C">
        <w:rPr>
          <w:rFonts w:ascii="Helvetica" w:hAnsi="Helvetica" w:cs="Helvetica"/>
          <w:b/>
          <w:bCs/>
          <w:u w:val="single"/>
          <w:lang w:val="en-US"/>
        </w:rPr>
        <w:t>HIGH LEVEL ASSUMPTIONS / METHODOLOGY</w:t>
      </w:r>
    </w:p>
    <w:p w14:paraId="2C381AA2" w14:textId="77777777" w:rsidR="00717037" w:rsidRPr="0039581C" w:rsidRDefault="00717037" w:rsidP="00717037">
      <w:pPr>
        <w:pStyle w:val="NoSpacing"/>
        <w:rPr>
          <w:rFonts w:ascii="Helvetica" w:hAnsi="Helvetica" w:cs="Helvetica"/>
          <w:lang w:val="en-US"/>
        </w:rPr>
      </w:pPr>
    </w:p>
    <w:p w14:paraId="7F62723E" w14:textId="42505675" w:rsidR="00717037" w:rsidRPr="0039581C" w:rsidRDefault="00717037" w:rsidP="0039581C">
      <w:pPr>
        <w:pStyle w:val="NoSpacing"/>
        <w:numPr>
          <w:ilvl w:val="0"/>
          <w:numId w:val="3"/>
        </w:numPr>
        <w:rPr>
          <w:rFonts w:ascii="Helvetica" w:hAnsi="Helvetica" w:cs="Helvetica"/>
          <w:lang w:val="en-US"/>
        </w:rPr>
      </w:pPr>
      <w:r w:rsidRPr="0039581C">
        <w:rPr>
          <w:rFonts w:ascii="Helvetica" w:hAnsi="Helvetica" w:cs="Helvetica"/>
          <w:b/>
          <w:bCs/>
          <w:u w:val="single"/>
          <w:lang w:val="en-US"/>
        </w:rPr>
        <w:t>BUDGET OBJECTIVES</w:t>
      </w:r>
    </w:p>
    <w:p w14:paraId="1F119CC0" w14:textId="77777777" w:rsidR="0039581C" w:rsidRPr="0039581C" w:rsidRDefault="0039581C" w:rsidP="0039581C">
      <w:pPr>
        <w:pStyle w:val="NoSpacing"/>
        <w:ind w:left="360"/>
        <w:rPr>
          <w:rFonts w:ascii="Helvetica" w:hAnsi="Helvetica" w:cs="Helvetica"/>
          <w:lang w:val="en-US"/>
        </w:rPr>
      </w:pPr>
    </w:p>
    <w:p w14:paraId="7EC5B9F8" w14:textId="7AD4ED4A" w:rsidR="00717037" w:rsidRPr="0039581C" w:rsidRDefault="007F1985" w:rsidP="00717037">
      <w:pPr>
        <w:pStyle w:val="NoSpacing"/>
        <w:numPr>
          <w:ilvl w:val="1"/>
          <w:numId w:val="3"/>
        </w:numPr>
        <w:rPr>
          <w:rFonts w:ascii="Helvetica" w:hAnsi="Helvetica" w:cs="Helvetica"/>
          <w:lang w:val="en-US"/>
        </w:rPr>
      </w:pPr>
      <w:r>
        <w:rPr>
          <w:rFonts w:ascii="Helvetica" w:hAnsi="Helvetica" w:cs="Helvetica"/>
          <w:lang w:val="en-US"/>
        </w:rPr>
        <w:t>Balanced budgets</w:t>
      </w:r>
    </w:p>
    <w:p w14:paraId="027C4C45" w14:textId="77777777"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Market related levies</w:t>
      </w:r>
    </w:p>
    <w:p w14:paraId="75869934" w14:textId="77777777"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Reasonable services</w:t>
      </w:r>
    </w:p>
    <w:p w14:paraId="47B04B31" w14:textId="77777777"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Village comparability</w:t>
      </w:r>
    </w:p>
    <w:p w14:paraId="5141658D" w14:textId="227C1FA3" w:rsidR="00717037" w:rsidRPr="0039581C" w:rsidRDefault="00085143" w:rsidP="00717037">
      <w:pPr>
        <w:pStyle w:val="NoSpacing"/>
        <w:numPr>
          <w:ilvl w:val="1"/>
          <w:numId w:val="3"/>
        </w:numPr>
        <w:rPr>
          <w:rFonts w:ascii="Helvetica" w:hAnsi="Helvetica" w:cs="Helvetica"/>
          <w:lang w:val="en-US"/>
        </w:rPr>
      </w:pPr>
      <w:r w:rsidRPr="0039581C">
        <w:rPr>
          <w:rFonts w:ascii="Helvetica" w:hAnsi="Helvetica" w:cs="Helvetica"/>
          <w:lang w:val="en-US"/>
        </w:rPr>
        <w:t>Labour</w:t>
      </w:r>
      <w:r w:rsidR="00717037" w:rsidRPr="0039581C">
        <w:rPr>
          <w:rFonts w:ascii="Helvetica" w:hAnsi="Helvetica" w:cs="Helvetica"/>
          <w:lang w:val="en-US"/>
        </w:rPr>
        <w:t xml:space="preserve"> vs Technology</w:t>
      </w:r>
    </w:p>
    <w:p w14:paraId="54E1A864" w14:textId="77777777" w:rsidR="00717037" w:rsidRPr="0039581C" w:rsidRDefault="00717037" w:rsidP="00717037">
      <w:pPr>
        <w:pStyle w:val="NoSpacing"/>
        <w:rPr>
          <w:rFonts w:ascii="Helvetica" w:hAnsi="Helvetica" w:cs="Helvetica"/>
          <w:lang w:val="en-US"/>
        </w:rPr>
      </w:pPr>
    </w:p>
    <w:p w14:paraId="7005D9D2" w14:textId="682924B9" w:rsidR="00717037" w:rsidRPr="0039581C" w:rsidRDefault="00085143" w:rsidP="00717037">
      <w:pPr>
        <w:pStyle w:val="NoSpacing"/>
        <w:numPr>
          <w:ilvl w:val="0"/>
          <w:numId w:val="3"/>
        </w:numPr>
        <w:rPr>
          <w:rFonts w:ascii="Helvetica" w:hAnsi="Helvetica" w:cs="Helvetica"/>
          <w:lang w:val="en-US"/>
        </w:rPr>
      </w:pPr>
      <w:r w:rsidRPr="0039581C">
        <w:rPr>
          <w:rFonts w:ascii="Helvetica" w:hAnsi="Helvetica" w:cs="Helvetica"/>
          <w:b/>
          <w:bCs/>
          <w:u w:val="single"/>
          <w:lang w:val="en-US"/>
        </w:rPr>
        <w:t>HIGH LEVEL BUDGET CHAN</w:t>
      </w:r>
      <w:r w:rsidR="007F1985">
        <w:rPr>
          <w:rFonts w:ascii="Helvetica" w:hAnsi="Helvetica" w:cs="Helvetica"/>
          <w:b/>
          <w:bCs/>
          <w:u w:val="single"/>
          <w:lang w:val="en-US"/>
        </w:rPr>
        <w:t>G</w:t>
      </w:r>
      <w:r w:rsidRPr="0039581C">
        <w:rPr>
          <w:rFonts w:ascii="Helvetica" w:hAnsi="Helvetica" w:cs="Helvetica"/>
          <w:b/>
          <w:bCs/>
          <w:u w:val="single"/>
          <w:lang w:val="en-US"/>
        </w:rPr>
        <w:t>ES</w:t>
      </w:r>
    </w:p>
    <w:p w14:paraId="6A808F37" w14:textId="77777777" w:rsidR="0039581C" w:rsidRPr="0039581C" w:rsidRDefault="0039581C" w:rsidP="0039581C">
      <w:pPr>
        <w:pStyle w:val="NoSpacing"/>
        <w:ind w:left="360"/>
        <w:rPr>
          <w:rFonts w:ascii="Helvetica" w:hAnsi="Helvetica" w:cs="Helvetica"/>
          <w:lang w:val="en-US"/>
        </w:rPr>
      </w:pPr>
    </w:p>
    <w:p w14:paraId="2B8230CC" w14:textId="2E24A2C2"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Levy cycle period change</w:t>
      </w:r>
    </w:p>
    <w:p w14:paraId="3C96BDFA" w14:textId="4409745B"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 xml:space="preserve">No </w:t>
      </w:r>
      <w:r w:rsidR="007F1985">
        <w:rPr>
          <w:rFonts w:ascii="Helvetica" w:hAnsi="Helvetica" w:cs="Helvetica"/>
          <w:lang w:val="en-US"/>
        </w:rPr>
        <w:t xml:space="preserve">immediate </w:t>
      </w:r>
      <w:r w:rsidRPr="0039581C">
        <w:rPr>
          <w:rFonts w:ascii="Helvetica" w:hAnsi="Helvetica" w:cs="Helvetica"/>
          <w:lang w:val="en-US"/>
        </w:rPr>
        <w:t xml:space="preserve">levy </w:t>
      </w:r>
      <w:r w:rsidR="00085143" w:rsidRPr="0039581C">
        <w:rPr>
          <w:rFonts w:ascii="Helvetica" w:hAnsi="Helvetica" w:cs="Helvetica"/>
          <w:lang w:val="en-US"/>
        </w:rPr>
        <w:t>increases</w:t>
      </w:r>
      <w:r w:rsidRPr="0039581C">
        <w:rPr>
          <w:rFonts w:ascii="Helvetica" w:hAnsi="Helvetica" w:cs="Helvetica"/>
          <w:lang w:val="en-US"/>
        </w:rPr>
        <w:t xml:space="preserve"> </w:t>
      </w:r>
    </w:p>
    <w:p w14:paraId="7996AB1C" w14:textId="41DDBBA2" w:rsidR="00085143" w:rsidRPr="0039581C" w:rsidRDefault="00085143" w:rsidP="00717037">
      <w:pPr>
        <w:pStyle w:val="NoSpacing"/>
        <w:numPr>
          <w:ilvl w:val="1"/>
          <w:numId w:val="3"/>
        </w:numPr>
        <w:rPr>
          <w:rFonts w:ascii="Helvetica" w:hAnsi="Helvetica" w:cs="Helvetica"/>
          <w:lang w:val="en-US"/>
        </w:rPr>
      </w:pPr>
      <w:r w:rsidRPr="0039581C">
        <w:rPr>
          <w:rFonts w:ascii="Helvetica" w:hAnsi="Helvetica" w:cs="Helvetica"/>
          <w:lang w:val="en-US"/>
        </w:rPr>
        <w:t>Split expenses in two categories – Included and Excluded from LRA</w:t>
      </w:r>
    </w:p>
    <w:p w14:paraId="7E02FEAD" w14:textId="77777777"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LRA cost inclusion implementation</w:t>
      </w:r>
    </w:p>
    <w:p w14:paraId="53F13167" w14:textId="77777777"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LRA cost recovery implementation</w:t>
      </w:r>
    </w:p>
    <w:p w14:paraId="67010E50" w14:textId="57715681" w:rsidR="00717037" w:rsidRPr="0039581C" w:rsidRDefault="00083233" w:rsidP="00717037">
      <w:pPr>
        <w:pStyle w:val="NoSpacing"/>
        <w:numPr>
          <w:ilvl w:val="1"/>
          <w:numId w:val="3"/>
        </w:numPr>
        <w:rPr>
          <w:rFonts w:ascii="Helvetica" w:hAnsi="Helvetica" w:cs="Helvetica"/>
          <w:lang w:val="en-US"/>
        </w:rPr>
      </w:pPr>
      <w:r>
        <w:rPr>
          <w:rFonts w:ascii="Helvetica" w:hAnsi="Helvetica" w:cs="Helvetica"/>
          <w:lang w:val="en-US"/>
        </w:rPr>
        <w:t>Evergreen Property Investments (EPI)</w:t>
      </w:r>
      <w:r w:rsidR="00717037" w:rsidRPr="0039581C">
        <w:rPr>
          <w:rFonts w:ascii="Helvetica" w:hAnsi="Helvetica" w:cs="Helvetica"/>
          <w:lang w:val="en-US"/>
        </w:rPr>
        <w:t xml:space="preserve"> consolidation of contributions</w:t>
      </w:r>
    </w:p>
    <w:p w14:paraId="2E8F015C" w14:textId="08BA8694"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Operating surplus</w:t>
      </w:r>
      <w:r w:rsidR="00E0605A">
        <w:rPr>
          <w:rFonts w:ascii="Helvetica" w:hAnsi="Helvetica" w:cs="Helvetica"/>
          <w:lang w:val="en-US"/>
        </w:rPr>
        <w:t>es to be</w:t>
      </w:r>
      <w:r w:rsidRPr="0039581C">
        <w:rPr>
          <w:rFonts w:ascii="Helvetica" w:hAnsi="Helvetica" w:cs="Helvetica"/>
          <w:lang w:val="en-US"/>
        </w:rPr>
        <w:t xml:space="preserve"> </w:t>
      </w:r>
      <w:r w:rsidR="00E0605A">
        <w:rPr>
          <w:rFonts w:ascii="Helvetica" w:hAnsi="Helvetica" w:cs="Helvetica"/>
          <w:lang w:val="en-US"/>
        </w:rPr>
        <w:t>ring-fenced</w:t>
      </w:r>
    </w:p>
    <w:p w14:paraId="3F33E849" w14:textId="12C191C8" w:rsidR="00717037" w:rsidRPr="0039581C" w:rsidRDefault="00717037" w:rsidP="00717037">
      <w:pPr>
        <w:pStyle w:val="NoSpacing"/>
        <w:numPr>
          <w:ilvl w:val="1"/>
          <w:numId w:val="3"/>
        </w:numPr>
        <w:rPr>
          <w:rFonts w:ascii="Helvetica" w:hAnsi="Helvetica" w:cs="Helvetica"/>
          <w:lang w:val="en-US"/>
        </w:rPr>
      </w:pPr>
      <w:r w:rsidRPr="0039581C">
        <w:rPr>
          <w:rFonts w:ascii="Helvetica" w:hAnsi="Helvetica" w:cs="Helvetica"/>
          <w:lang w:val="en-US"/>
        </w:rPr>
        <w:t>Levy standardization</w:t>
      </w:r>
    </w:p>
    <w:bookmarkEnd w:id="0"/>
    <w:p w14:paraId="1F7B9C1A" w14:textId="77777777" w:rsidR="00717037" w:rsidRPr="0039581C" w:rsidRDefault="00717037" w:rsidP="00CC2A33">
      <w:pPr>
        <w:rPr>
          <w:rFonts w:ascii="Helvetica" w:hAnsi="Helvetica" w:cs="Helvetica"/>
          <w:u w:val="single"/>
        </w:rPr>
      </w:pPr>
    </w:p>
    <w:p w14:paraId="0165CE8A" w14:textId="29BD415C" w:rsidR="00BF2EE2" w:rsidRDefault="00BF2EE2" w:rsidP="0039581C">
      <w:pPr>
        <w:pStyle w:val="NoSpacing"/>
        <w:rPr>
          <w:rFonts w:ascii="Helvetica" w:hAnsi="Helvetica" w:cs="Helvetica"/>
          <w:b/>
          <w:bCs/>
          <w:u w:val="single"/>
          <w:lang w:val="en-US"/>
        </w:rPr>
      </w:pPr>
      <w:r w:rsidRPr="0039581C">
        <w:rPr>
          <w:rFonts w:ascii="Helvetica" w:hAnsi="Helvetica" w:cs="Helvetica"/>
        </w:rPr>
        <w:t>2.1)</w:t>
      </w:r>
      <w:r w:rsidRPr="0039581C">
        <w:rPr>
          <w:rFonts w:ascii="Helvetica" w:hAnsi="Helvetica" w:cs="Helvetica"/>
          <w:b/>
          <w:bCs/>
        </w:rPr>
        <w:t xml:space="preserve"> </w:t>
      </w:r>
      <w:r w:rsidRPr="0039581C">
        <w:rPr>
          <w:rFonts w:ascii="Helvetica" w:hAnsi="Helvetica" w:cs="Helvetica"/>
          <w:b/>
          <w:bCs/>
          <w:u w:val="single"/>
          <w:lang w:val="en-US"/>
        </w:rPr>
        <w:t>Levy cycle period change</w:t>
      </w:r>
    </w:p>
    <w:p w14:paraId="5C81292E" w14:textId="77777777" w:rsidR="0039581C" w:rsidRPr="0039581C" w:rsidRDefault="0039581C" w:rsidP="0039581C">
      <w:pPr>
        <w:pStyle w:val="NoSpacing"/>
        <w:rPr>
          <w:rFonts w:ascii="Helvetica" w:hAnsi="Helvetica" w:cs="Helvetica"/>
          <w:b/>
          <w:bCs/>
          <w:lang w:val="en-US"/>
        </w:rPr>
      </w:pPr>
    </w:p>
    <w:p w14:paraId="1FE485E6" w14:textId="0703140D" w:rsidR="00BF2EE2" w:rsidRPr="0039581C" w:rsidRDefault="00BF2EE2" w:rsidP="0039581C">
      <w:pPr>
        <w:pStyle w:val="NoSpacing"/>
        <w:ind w:left="720"/>
        <w:rPr>
          <w:rFonts w:ascii="Helvetica" w:hAnsi="Helvetica" w:cs="Helvetica"/>
        </w:rPr>
      </w:pPr>
      <w:r w:rsidRPr="0039581C">
        <w:rPr>
          <w:rFonts w:ascii="Helvetica" w:hAnsi="Helvetica" w:cs="Helvetica"/>
        </w:rPr>
        <w:t>Cycle change from current 1 Sep</w:t>
      </w:r>
      <w:r w:rsidR="00C37F31" w:rsidRPr="0039581C">
        <w:rPr>
          <w:rFonts w:ascii="Helvetica" w:hAnsi="Helvetica" w:cs="Helvetica"/>
        </w:rPr>
        <w:t>tember</w:t>
      </w:r>
      <w:r w:rsidRPr="0039581C">
        <w:rPr>
          <w:rFonts w:ascii="Helvetica" w:hAnsi="Helvetica" w:cs="Helvetica"/>
        </w:rPr>
        <w:t xml:space="preserve"> to 31 Aug</w:t>
      </w:r>
      <w:r w:rsidR="00C37F31" w:rsidRPr="0039581C">
        <w:rPr>
          <w:rFonts w:ascii="Helvetica" w:hAnsi="Helvetica" w:cs="Helvetica"/>
        </w:rPr>
        <w:t>ust</w:t>
      </w:r>
      <w:r w:rsidRPr="0039581C">
        <w:rPr>
          <w:rFonts w:ascii="Helvetica" w:hAnsi="Helvetica" w:cs="Helvetica"/>
        </w:rPr>
        <w:t xml:space="preserve"> period, to fall in line with financial year</w:t>
      </w:r>
      <w:r w:rsidR="00C37F31" w:rsidRPr="0039581C">
        <w:rPr>
          <w:rFonts w:ascii="Helvetica" w:hAnsi="Helvetica" w:cs="Helvetica"/>
        </w:rPr>
        <w:t xml:space="preserve"> of </w:t>
      </w:r>
      <w:r w:rsidRPr="0039581C">
        <w:rPr>
          <w:rFonts w:ascii="Helvetica" w:hAnsi="Helvetica" w:cs="Helvetica"/>
        </w:rPr>
        <w:t>1 Mar</w:t>
      </w:r>
      <w:r w:rsidR="00C37F31" w:rsidRPr="0039581C">
        <w:rPr>
          <w:rFonts w:ascii="Helvetica" w:hAnsi="Helvetica" w:cs="Helvetica"/>
        </w:rPr>
        <w:t>ch</w:t>
      </w:r>
      <w:r w:rsidRPr="0039581C">
        <w:rPr>
          <w:rFonts w:ascii="Helvetica" w:hAnsi="Helvetica" w:cs="Helvetica"/>
        </w:rPr>
        <w:t xml:space="preserve"> to</w:t>
      </w:r>
      <w:r w:rsidR="00C37F31" w:rsidRPr="0039581C">
        <w:rPr>
          <w:rFonts w:ascii="Helvetica" w:hAnsi="Helvetica" w:cs="Helvetica"/>
        </w:rPr>
        <w:t xml:space="preserve"> </w:t>
      </w:r>
      <w:r w:rsidRPr="0039581C">
        <w:rPr>
          <w:rFonts w:ascii="Helvetica" w:hAnsi="Helvetica" w:cs="Helvetica"/>
        </w:rPr>
        <w:t>28 Feb</w:t>
      </w:r>
      <w:r w:rsidR="00C37F31" w:rsidRPr="0039581C">
        <w:rPr>
          <w:rFonts w:ascii="Helvetica" w:hAnsi="Helvetica" w:cs="Helvetica"/>
        </w:rPr>
        <w:t>ruary</w:t>
      </w:r>
      <w:r w:rsidRPr="0039581C">
        <w:rPr>
          <w:rFonts w:ascii="Helvetica" w:hAnsi="Helvetica" w:cs="Helvetica"/>
        </w:rPr>
        <w:t>.</w:t>
      </w:r>
    </w:p>
    <w:p w14:paraId="086E09B8" w14:textId="452C2CC6" w:rsidR="00BF2EE2" w:rsidRPr="0039581C" w:rsidRDefault="00BF2EE2" w:rsidP="00BF2EE2">
      <w:pPr>
        <w:pStyle w:val="NoSpacing"/>
        <w:ind w:firstLine="720"/>
        <w:rPr>
          <w:rFonts w:ascii="Helvetica" w:hAnsi="Helvetica" w:cs="Helvetica"/>
        </w:rPr>
      </w:pPr>
      <w:r w:rsidRPr="0039581C">
        <w:rPr>
          <w:rFonts w:ascii="Helvetica" w:hAnsi="Helvetica" w:cs="Helvetica"/>
        </w:rPr>
        <w:t>This represents a</w:t>
      </w:r>
      <w:r w:rsidR="00001AE5" w:rsidRPr="0039581C">
        <w:rPr>
          <w:rFonts w:ascii="Helvetica" w:hAnsi="Helvetica" w:cs="Helvetica"/>
        </w:rPr>
        <w:t>n</w:t>
      </w:r>
      <w:r w:rsidRPr="0039581C">
        <w:rPr>
          <w:rFonts w:ascii="Helvetica" w:hAnsi="Helvetica" w:cs="Helvetica"/>
        </w:rPr>
        <w:t xml:space="preserve"> LRA change.</w:t>
      </w:r>
    </w:p>
    <w:p w14:paraId="77D9B7B7" w14:textId="7669E0C9" w:rsidR="00BF2EE2" w:rsidRPr="0039581C" w:rsidRDefault="00BF2EE2" w:rsidP="00BF2EE2">
      <w:pPr>
        <w:pStyle w:val="NoSpacing"/>
        <w:ind w:firstLine="720"/>
        <w:rPr>
          <w:rFonts w:ascii="Helvetica" w:hAnsi="Helvetica" w:cs="Helvetica"/>
        </w:rPr>
      </w:pPr>
    </w:p>
    <w:p w14:paraId="56E18238" w14:textId="547812F1" w:rsidR="00BF2EE2" w:rsidRDefault="00BF2EE2" w:rsidP="0039581C">
      <w:pPr>
        <w:pStyle w:val="NoSpacing"/>
        <w:rPr>
          <w:rFonts w:ascii="Helvetica" w:hAnsi="Helvetica" w:cs="Helvetica"/>
          <w:b/>
          <w:bCs/>
          <w:u w:val="single"/>
        </w:rPr>
      </w:pPr>
      <w:r w:rsidRPr="0039581C">
        <w:rPr>
          <w:rFonts w:ascii="Helvetica" w:hAnsi="Helvetica" w:cs="Helvetica"/>
        </w:rPr>
        <w:t>2.2)</w:t>
      </w:r>
      <w:r w:rsidRPr="0039581C">
        <w:rPr>
          <w:rFonts w:ascii="Helvetica" w:hAnsi="Helvetica" w:cs="Helvetica"/>
          <w:b/>
          <w:bCs/>
        </w:rPr>
        <w:t xml:space="preserve"> </w:t>
      </w:r>
      <w:r w:rsidR="00C37F31" w:rsidRPr="0039581C">
        <w:rPr>
          <w:rFonts w:ascii="Helvetica" w:hAnsi="Helvetica" w:cs="Helvetica"/>
          <w:b/>
          <w:bCs/>
          <w:u w:val="single"/>
        </w:rPr>
        <w:t>No levy increase FY23</w:t>
      </w:r>
    </w:p>
    <w:p w14:paraId="1D7B9985" w14:textId="77777777" w:rsidR="0039581C" w:rsidRPr="0039581C" w:rsidRDefault="0039581C" w:rsidP="0039581C">
      <w:pPr>
        <w:pStyle w:val="NoSpacing"/>
        <w:rPr>
          <w:rFonts w:ascii="Helvetica" w:hAnsi="Helvetica" w:cs="Helvetica"/>
          <w:b/>
          <w:bCs/>
        </w:rPr>
      </w:pPr>
    </w:p>
    <w:p w14:paraId="36B58693" w14:textId="75B3F6D3" w:rsidR="00C37F31" w:rsidRPr="0039581C" w:rsidRDefault="00C37F31" w:rsidP="00C37F31">
      <w:pPr>
        <w:pStyle w:val="NoSpacing"/>
        <w:ind w:left="720"/>
        <w:rPr>
          <w:rFonts w:ascii="Helvetica" w:hAnsi="Helvetica" w:cs="Helvetica"/>
        </w:rPr>
      </w:pPr>
      <w:r w:rsidRPr="0039581C">
        <w:rPr>
          <w:rFonts w:ascii="Helvetica" w:hAnsi="Helvetica" w:cs="Helvetica"/>
        </w:rPr>
        <w:t>Proposal to only increase levies 1 March 2023, - a 18-month relief for residents.  This relief will assist with implementation of other changes proposed in the budget.</w:t>
      </w:r>
    </w:p>
    <w:p w14:paraId="1410EA0D" w14:textId="67EFAFB0" w:rsidR="00C37F31" w:rsidRPr="0039581C" w:rsidRDefault="00C37F31" w:rsidP="00C37F31">
      <w:pPr>
        <w:pStyle w:val="NoSpacing"/>
        <w:ind w:left="720"/>
        <w:rPr>
          <w:rFonts w:ascii="Helvetica" w:hAnsi="Helvetica" w:cs="Helvetica"/>
        </w:rPr>
      </w:pPr>
    </w:p>
    <w:p w14:paraId="1A2C9A78" w14:textId="611A9F57" w:rsidR="00E92CA4" w:rsidRDefault="00C37F31" w:rsidP="0039581C">
      <w:pPr>
        <w:pStyle w:val="NoSpacing"/>
        <w:rPr>
          <w:rFonts w:ascii="Helvetica" w:hAnsi="Helvetica" w:cs="Helvetica"/>
          <w:b/>
          <w:bCs/>
          <w:u w:val="single"/>
        </w:rPr>
      </w:pPr>
      <w:r w:rsidRPr="0039581C">
        <w:rPr>
          <w:rFonts w:ascii="Helvetica" w:hAnsi="Helvetica" w:cs="Helvetica"/>
        </w:rPr>
        <w:t>2.3)</w:t>
      </w:r>
      <w:r w:rsidRPr="0039581C">
        <w:rPr>
          <w:rFonts w:ascii="Helvetica" w:hAnsi="Helvetica" w:cs="Helvetica"/>
          <w:b/>
          <w:bCs/>
        </w:rPr>
        <w:t xml:space="preserve"> </w:t>
      </w:r>
      <w:r w:rsidRPr="0039581C">
        <w:rPr>
          <w:rFonts w:ascii="Helvetica" w:hAnsi="Helvetica" w:cs="Helvetica"/>
          <w:b/>
          <w:bCs/>
          <w:u w:val="single"/>
        </w:rPr>
        <w:t>LRA cost inclusion</w:t>
      </w:r>
    </w:p>
    <w:p w14:paraId="555FBA39" w14:textId="77777777" w:rsidR="0039581C" w:rsidRPr="0039581C" w:rsidRDefault="0039581C" w:rsidP="0039581C">
      <w:pPr>
        <w:pStyle w:val="NoSpacing"/>
        <w:rPr>
          <w:rFonts w:ascii="Helvetica" w:hAnsi="Helvetica" w:cs="Helvetica"/>
          <w:b/>
          <w:bCs/>
          <w:u w:val="single"/>
        </w:rPr>
      </w:pPr>
    </w:p>
    <w:p w14:paraId="6EDFCE77" w14:textId="61031396" w:rsidR="00CC2A33" w:rsidRDefault="00CC2A33" w:rsidP="0039581C">
      <w:pPr>
        <w:pStyle w:val="NoSpacing"/>
        <w:ind w:firstLine="720"/>
        <w:rPr>
          <w:rFonts w:ascii="Helvetica" w:hAnsi="Helvetica" w:cs="Helvetica"/>
        </w:rPr>
      </w:pPr>
      <w:r w:rsidRPr="0039581C">
        <w:rPr>
          <w:rFonts w:ascii="Helvetica" w:hAnsi="Helvetica" w:cs="Helvetica"/>
          <w:b/>
          <w:bCs/>
          <w:u w:val="single"/>
        </w:rPr>
        <w:t>Head Office costs recovery methodology</w:t>
      </w:r>
      <w:r w:rsidRPr="0039581C">
        <w:rPr>
          <w:rFonts w:ascii="Helvetica" w:hAnsi="Helvetica" w:cs="Helvetica"/>
        </w:rPr>
        <w:t xml:space="preserve"> </w:t>
      </w:r>
    </w:p>
    <w:p w14:paraId="4E1353D5" w14:textId="77777777" w:rsidR="0039581C" w:rsidRPr="0039581C" w:rsidRDefault="0039581C" w:rsidP="0039581C">
      <w:pPr>
        <w:pStyle w:val="NoSpacing"/>
        <w:ind w:firstLine="720"/>
        <w:rPr>
          <w:rFonts w:ascii="Helvetica" w:hAnsi="Helvetica" w:cs="Helvetica"/>
        </w:rPr>
      </w:pPr>
    </w:p>
    <w:p w14:paraId="593E9DC1" w14:textId="4E9BA68A" w:rsidR="0039581C" w:rsidRDefault="00CC2A33" w:rsidP="0039581C">
      <w:pPr>
        <w:ind w:left="720"/>
        <w:rPr>
          <w:rFonts w:ascii="Helvetica" w:hAnsi="Helvetica" w:cs="Helvetica"/>
        </w:rPr>
      </w:pPr>
      <w:r w:rsidRPr="0039581C">
        <w:rPr>
          <w:rFonts w:ascii="Helvetica" w:hAnsi="Helvetica" w:cs="Helvetica"/>
        </w:rPr>
        <w:t xml:space="preserve">ELV Head Office costs are to be recovered from residents as per the LRA. </w:t>
      </w:r>
      <w:r w:rsidR="002D4AB1" w:rsidRPr="0039581C">
        <w:rPr>
          <w:rFonts w:ascii="Helvetica" w:hAnsi="Helvetica" w:cs="Helvetica"/>
        </w:rPr>
        <w:t xml:space="preserve"> It is acknowledged that the current head office structure </w:t>
      </w:r>
      <w:r w:rsidR="004D71CC" w:rsidRPr="0039581C">
        <w:rPr>
          <w:rFonts w:ascii="Helvetica" w:hAnsi="Helvetica" w:cs="Helvetica"/>
        </w:rPr>
        <w:t xml:space="preserve">is set-up to manage a </w:t>
      </w:r>
      <w:r w:rsidR="00717037" w:rsidRPr="0039581C">
        <w:rPr>
          <w:rFonts w:ascii="Helvetica" w:hAnsi="Helvetica" w:cs="Helvetica"/>
        </w:rPr>
        <w:t xml:space="preserve">larger </w:t>
      </w:r>
      <w:r w:rsidR="004D71CC" w:rsidRPr="0039581C">
        <w:rPr>
          <w:rFonts w:ascii="Helvetica" w:hAnsi="Helvetica" w:cs="Helvetica"/>
        </w:rPr>
        <w:t>number of units than the current units</w:t>
      </w:r>
      <w:r w:rsidRPr="0039581C">
        <w:rPr>
          <w:rFonts w:ascii="Helvetica" w:hAnsi="Helvetica" w:cs="Helvetica"/>
        </w:rPr>
        <w:t xml:space="preserve">. </w:t>
      </w:r>
      <w:r w:rsidR="007853C6" w:rsidRPr="0039581C">
        <w:rPr>
          <w:rFonts w:ascii="Helvetica" w:hAnsi="Helvetica" w:cs="Helvetica"/>
        </w:rPr>
        <w:t>Therefore, the</w:t>
      </w:r>
      <w:r w:rsidR="000D735F" w:rsidRPr="0039581C">
        <w:rPr>
          <w:rFonts w:ascii="Helvetica" w:hAnsi="Helvetica" w:cs="Helvetica"/>
        </w:rPr>
        <w:t xml:space="preserve"> head office cost</w:t>
      </w:r>
      <w:r w:rsidR="004D71CC" w:rsidRPr="0039581C">
        <w:rPr>
          <w:rFonts w:ascii="Helvetica" w:hAnsi="Helvetica" w:cs="Helvetica"/>
        </w:rPr>
        <w:t>s have been allocated using a 200</w:t>
      </w:r>
      <w:r w:rsidR="00717037" w:rsidRPr="0039581C">
        <w:rPr>
          <w:rFonts w:ascii="Helvetica" w:hAnsi="Helvetica" w:cs="Helvetica"/>
        </w:rPr>
        <w:t>0</w:t>
      </w:r>
      <w:r w:rsidR="004D71CC" w:rsidRPr="0039581C">
        <w:rPr>
          <w:rFonts w:ascii="Helvetica" w:hAnsi="Helvetica" w:cs="Helvetica"/>
        </w:rPr>
        <w:t xml:space="preserve"> units base and then </w:t>
      </w:r>
      <w:r w:rsidR="00717037" w:rsidRPr="0039581C">
        <w:rPr>
          <w:rFonts w:ascii="Helvetica" w:hAnsi="Helvetica" w:cs="Helvetica"/>
        </w:rPr>
        <w:t xml:space="preserve">apportioned </w:t>
      </w:r>
      <w:r w:rsidR="004D71CC" w:rsidRPr="0039581C">
        <w:rPr>
          <w:rFonts w:ascii="Helvetica" w:hAnsi="Helvetica" w:cs="Helvetica"/>
        </w:rPr>
        <w:t xml:space="preserve">to </w:t>
      </w:r>
      <w:r w:rsidR="00717037" w:rsidRPr="0039581C">
        <w:rPr>
          <w:rFonts w:ascii="Helvetica" w:hAnsi="Helvetica" w:cs="Helvetica"/>
        </w:rPr>
        <w:t xml:space="preserve">each </w:t>
      </w:r>
      <w:r w:rsidR="004D71CC" w:rsidRPr="0039581C">
        <w:rPr>
          <w:rFonts w:ascii="Helvetica" w:hAnsi="Helvetica" w:cs="Helvetica"/>
        </w:rPr>
        <w:t>village based on the actual</w:t>
      </w:r>
      <w:r w:rsidR="000D735F" w:rsidRPr="0039581C">
        <w:rPr>
          <w:rFonts w:ascii="Helvetica" w:hAnsi="Helvetica" w:cs="Helvetica"/>
        </w:rPr>
        <w:t xml:space="preserve"> current unit numbers.</w:t>
      </w:r>
      <w:r w:rsidR="00717037" w:rsidRPr="0039581C">
        <w:rPr>
          <w:rFonts w:ascii="Helvetica" w:hAnsi="Helvetica" w:cs="Helvetica"/>
        </w:rPr>
        <w:t xml:space="preserve">  The calculated recovery, at R300 per unit per month, represents an under-recovery of approximately 50%, which are funded by</w:t>
      </w:r>
      <w:r w:rsidR="00C000BD">
        <w:rPr>
          <w:rFonts w:ascii="Helvetica" w:hAnsi="Helvetica" w:cs="Helvetica"/>
        </w:rPr>
        <w:t xml:space="preserve"> Evergreen Property Investments (EPI).</w:t>
      </w:r>
      <w:r w:rsidR="00001AE5" w:rsidRPr="0039581C">
        <w:rPr>
          <w:rFonts w:ascii="Helvetica" w:hAnsi="Helvetica" w:cs="Helvetica"/>
        </w:rPr>
        <w:t xml:space="preserve"> This will further reduce as more units are built and added to the </w:t>
      </w:r>
      <w:r w:rsidR="00C000BD">
        <w:rPr>
          <w:rFonts w:ascii="Helvetica" w:hAnsi="Helvetica" w:cs="Helvetica"/>
        </w:rPr>
        <w:t xml:space="preserve">greater Evergreen </w:t>
      </w:r>
      <w:r w:rsidR="00001AE5" w:rsidRPr="0039581C">
        <w:rPr>
          <w:rFonts w:ascii="Helvetica" w:hAnsi="Helvetica" w:cs="Helvetica"/>
        </w:rPr>
        <w:t>business.</w:t>
      </w:r>
    </w:p>
    <w:p w14:paraId="405662C2" w14:textId="5683F343" w:rsidR="0039581C" w:rsidRDefault="00E92CA4" w:rsidP="0039581C">
      <w:pPr>
        <w:pStyle w:val="NoSpacing"/>
        <w:ind w:firstLine="720"/>
        <w:rPr>
          <w:rFonts w:ascii="Helvetica" w:hAnsi="Helvetica" w:cs="Helvetica"/>
          <w:b/>
          <w:bCs/>
          <w:u w:val="single"/>
        </w:rPr>
      </w:pPr>
      <w:r w:rsidRPr="0039581C">
        <w:rPr>
          <w:rFonts w:ascii="Helvetica" w:hAnsi="Helvetica" w:cs="Helvetica"/>
          <w:b/>
          <w:bCs/>
          <w:u w:val="single"/>
        </w:rPr>
        <w:t xml:space="preserve">Insurance costs recovery methodology </w:t>
      </w:r>
    </w:p>
    <w:p w14:paraId="1F1825DC" w14:textId="77777777" w:rsidR="0039581C" w:rsidRPr="0039581C" w:rsidRDefault="0039581C" w:rsidP="0039581C">
      <w:pPr>
        <w:pStyle w:val="NoSpacing"/>
        <w:ind w:firstLine="720"/>
        <w:rPr>
          <w:rFonts w:ascii="Helvetica" w:hAnsi="Helvetica" w:cs="Helvetica"/>
          <w:b/>
          <w:bCs/>
          <w:u w:val="single"/>
        </w:rPr>
      </w:pPr>
    </w:p>
    <w:p w14:paraId="22DBE2FA" w14:textId="4F2DB373" w:rsidR="00AC64EF" w:rsidRPr="0039581C" w:rsidRDefault="00E92CA4" w:rsidP="00191CBE">
      <w:pPr>
        <w:pStyle w:val="NoSpacing"/>
        <w:ind w:left="720"/>
        <w:rPr>
          <w:rFonts w:ascii="Helvetica" w:hAnsi="Helvetica" w:cs="Helvetica"/>
        </w:rPr>
      </w:pPr>
      <w:r w:rsidRPr="0039581C">
        <w:rPr>
          <w:rFonts w:ascii="Helvetica" w:hAnsi="Helvetica" w:cs="Helvetica"/>
        </w:rPr>
        <w:t xml:space="preserve">Building and public liability insurance costs are to be recovered from residents as per the LRA.  Annually </w:t>
      </w:r>
      <w:r w:rsidR="00E0605A">
        <w:rPr>
          <w:rFonts w:ascii="Helvetica" w:hAnsi="Helvetica" w:cs="Helvetica"/>
        </w:rPr>
        <w:t xml:space="preserve">we meet with </w:t>
      </w:r>
      <w:r w:rsidRPr="0039581C">
        <w:rPr>
          <w:rFonts w:ascii="Helvetica" w:hAnsi="Helvetica" w:cs="Helvetica"/>
        </w:rPr>
        <w:t xml:space="preserve">the </w:t>
      </w:r>
      <w:r w:rsidR="00E0605A" w:rsidRPr="0039581C">
        <w:rPr>
          <w:rFonts w:ascii="Helvetica" w:hAnsi="Helvetica" w:cs="Helvetica"/>
        </w:rPr>
        <w:t xml:space="preserve">insurance broker </w:t>
      </w:r>
      <w:r w:rsidR="00E0605A">
        <w:rPr>
          <w:rFonts w:ascii="Helvetica" w:hAnsi="Helvetica" w:cs="Helvetica"/>
        </w:rPr>
        <w:t>to</w:t>
      </w:r>
      <w:r w:rsidRPr="0039581C">
        <w:rPr>
          <w:rFonts w:ascii="Helvetica" w:hAnsi="Helvetica" w:cs="Helvetica"/>
        </w:rPr>
        <w:t xml:space="preserve"> </w:t>
      </w:r>
      <w:r w:rsidR="00C000BD">
        <w:rPr>
          <w:rFonts w:ascii="Helvetica" w:hAnsi="Helvetica" w:cs="Helvetica"/>
        </w:rPr>
        <w:t>determine the estimated property replacement value, on which the insurance premium is based</w:t>
      </w:r>
      <w:r w:rsidR="00E0605A">
        <w:rPr>
          <w:rFonts w:ascii="Helvetica" w:hAnsi="Helvetica" w:cs="Helvetica"/>
        </w:rPr>
        <w:t>.</w:t>
      </w:r>
    </w:p>
    <w:p w14:paraId="45E89148" w14:textId="77777777" w:rsidR="00AC64EF" w:rsidRPr="0039581C" w:rsidRDefault="00AC64EF" w:rsidP="00E92CA4">
      <w:pPr>
        <w:rPr>
          <w:rFonts w:ascii="Helvetica" w:hAnsi="Helvetica" w:cs="Helvetica"/>
        </w:rPr>
      </w:pPr>
    </w:p>
    <w:p w14:paraId="5BF6B655" w14:textId="14B657B8" w:rsidR="00AC64EF" w:rsidRPr="0039581C" w:rsidRDefault="00E92CA4" w:rsidP="0039581C">
      <w:pPr>
        <w:rPr>
          <w:rFonts w:ascii="Helvetica" w:hAnsi="Helvetica" w:cs="Helvetica"/>
          <w:b/>
          <w:bCs/>
          <w:u w:val="single"/>
        </w:rPr>
      </w:pPr>
      <w:r w:rsidRPr="0039581C">
        <w:rPr>
          <w:rFonts w:ascii="Helvetica" w:hAnsi="Helvetica" w:cs="Helvetica"/>
        </w:rPr>
        <w:t>2.4)</w:t>
      </w:r>
      <w:r w:rsidRPr="0039581C">
        <w:rPr>
          <w:rFonts w:ascii="Helvetica" w:hAnsi="Helvetica" w:cs="Helvetica"/>
          <w:b/>
          <w:bCs/>
        </w:rPr>
        <w:t xml:space="preserve"> </w:t>
      </w:r>
      <w:r w:rsidRPr="0039581C">
        <w:rPr>
          <w:rFonts w:ascii="Helvetica" w:hAnsi="Helvetica" w:cs="Helvetica"/>
          <w:b/>
          <w:bCs/>
          <w:u w:val="single"/>
        </w:rPr>
        <w:t>LRA cost recovery</w:t>
      </w:r>
    </w:p>
    <w:p w14:paraId="0B60F9FB" w14:textId="7C713E90" w:rsidR="00AC64EF" w:rsidRPr="0039581C" w:rsidRDefault="00AC64EF" w:rsidP="0039581C">
      <w:pPr>
        <w:pStyle w:val="NoSpacing"/>
        <w:ind w:left="720"/>
        <w:rPr>
          <w:rFonts w:ascii="Helvetica" w:hAnsi="Helvetica" w:cs="Helvetica"/>
        </w:rPr>
      </w:pPr>
      <w:r w:rsidRPr="0039581C">
        <w:rPr>
          <w:rFonts w:ascii="Helvetica" w:hAnsi="Helvetica" w:cs="Helvetica"/>
        </w:rPr>
        <w:t>Healthcare and Catering services fall outside of the ‘Facilities and Services’ as agreed upon in the LRA. Historically these services have been erroneously allocated to the operational expenses. As a corrective action these costs will now be charged to residents on a per home basis.</w:t>
      </w:r>
    </w:p>
    <w:p w14:paraId="1F7A0BC2" w14:textId="77777777" w:rsidR="0039581C" w:rsidRPr="0039581C" w:rsidRDefault="0039581C" w:rsidP="0039581C">
      <w:pPr>
        <w:pStyle w:val="NoSpacing"/>
      </w:pPr>
    </w:p>
    <w:p w14:paraId="2906C031" w14:textId="0637BE04" w:rsidR="00AC64EF" w:rsidRPr="0039581C" w:rsidRDefault="00AC64EF" w:rsidP="0039581C">
      <w:pPr>
        <w:rPr>
          <w:rFonts w:ascii="Helvetica" w:hAnsi="Helvetica" w:cs="Helvetica"/>
        </w:rPr>
      </w:pPr>
      <w:r w:rsidRPr="0039581C">
        <w:rPr>
          <w:rFonts w:ascii="Helvetica" w:hAnsi="Helvetica" w:cs="Helvetica"/>
        </w:rPr>
        <w:t xml:space="preserve">2.5) </w:t>
      </w:r>
      <w:r w:rsidR="00083233">
        <w:rPr>
          <w:rFonts w:ascii="Helvetica" w:hAnsi="Helvetica" w:cs="Helvetica"/>
          <w:b/>
          <w:bCs/>
          <w:u w:val="single"/>
        </w:rPr>
        <w:t>Evergreen Property Investments (EPI)</w:t>
      </w:r>
      <w:r w:rsidRPr="0039581C">
        <w:rPr>
          <w:rFonts w:ascii="Helvetica" w:hAnsi="Helvetica" w:cs="Helvetica"/>
          <w:b/>
          <w:bCs/>
          <w:u w:val="single"/>
        </w:rPr>
        <w:t xml:space="preserve"> consolidation of contributions</w:t>
      </w:r>
    </w:p>
    <w:p w14:paraId="5F9317D9" w14:textId="3D9FA010" w:rsidR="00AC64EF" w:rsidRDefault="00191CBE" w:rsidP="0039581C">
      <w:pPr>
        <w:pStyle w:val="NoSpacing"/>
        <w:ind w:left="720"/>
        <w:rPr>
          <w:rFonts w:ascii="Helvetica" w:hAnsi="Helvetica" w:cs="Helvetica"/>
        </w:rPr>
      </w:pPr>
      <w:r>
        <w:rPr>
          <w:rFonts w:ascii="Helvetica" w:hAnsi="Helvetica" w:cs="Helvetica"/>
        </w:rPr>
        <w:t>Evergreen Property Investments (EPI) contribution consolidated to Operations Loss Recovery</w:t>
      </w:r>
      <w:r w:rsidR="00AC64EF" w:rsidRPr="0039581C">
        <w:rPr>
          <w:rFonts w:ascii="Helvetica" w:hAnsi="Helvetica" w:cs="Helvetica"/>
        </w:rPr>
        <w:t xml:space="preserve">. The focus remains to </w:t>
      </w:r>
      <w:r w:rsidR="00083233">
        <w:rPr>
          <w:rFonts w:ascii="Helvetica" w:hAnsi="Helvetica" w:cs="Helvetica"/>
        </w:rPr>
        <w:t>run the</w:t>
      </w:r>
      <w:r w:rsidR="00AC64EF" w:rsidRPr="0039581C">
        <w:rPr>
          <w:rFonts w:ascii="Helvetica" w:hAnsi="Helvetica" w:cs="Helvetica"/>
        </w:rPr>
        <w:t xml:space="preserve"> </w:t>
      </w:r>
      <w:r>
        <w:rPr>
          <w:rFonts w:ascii="Helvetica" w:hAnsi="Helvetica" w:cs="Helvetica"/>
        </w:rPr>
        <w:t>V</w:t>
      </w:r>
      <w:r w:rsidR="00AC64EF" w:rsidRPr="0039581C">
        <w:rPr>
          <w:rFonts w:ascii="Helvetica" w:hAnsi="Helvetica" w:cs="Helvetica"/>
        </w:rPr>
        <w:t xml:space="preserve">illage </w:t>
      </w:r>
      <w:r w:rsidR="00083233">
        <w:rPr>
          <w:rFonts w:ascii="Helvetica" w:hAnsi="Helvetica" w:cs="Helvetica"/>
        </w:rPr>
        <w:t>on a profitable basis</w:t>
      </w:r>
      <w:r w:rsidR="00001AE5" w:rsidRPr="0039581C">
        <w:rPr>
          <w:rFonts w:ascii="Helvetica" w:hAnsi="Helvetica" w:cs="Helvetica"/>
        </w:rPr>
        <w:t>.</w:t>
      </w:r>
    </w:p>
    <w:p w14:paraId="6E22BC0A" w14:textId="77777777" w:rsidR="0039581C" w:rsidRPr="0039581C" w:rsidRDefault="0039581C" w:rsidP="0039581C">
      <w:pPr>
        <w:pStyle w:val="NoSpacing"/>
        <w:ind w:left="720"/>
        <w:rPr>
          <w:rFonts w:ascii="Helvetica" w:hAnsi="Helvetica" w:cs="Helvetica"/>
        </w:rPr>
      </w:pPr>
    </w:p>
    <w:p w14:paraId="6A990AF8" w14:textId="1F1521B3" w:rsidR="00AC64EF" w:rsidRPr="0039581C" w:rsidRDefault="00AC64EF" w:rsidP="0039581C">
      <w:pPr>
        <w:rPr>
          <w:rFonts w:ascii="Helvetica" w:hAnsi="Helvetica" w:cs="Helvetica"/>
        </w:rPr>
      </w:pPr>
      <w:r w:rsidRPr="0039581C">
        <w:rPr>
          <w:rFonts w:ascii="Helvetica" w:hAnsi="Helvetica" w:cs="Helvetica"/>
        </w:rPr>
        <w:t xml:space="preserve">2.6) </w:t>
      </w:r>
      <w:r w:rsidRPr="0039581C">
        <w:rPr>
          <w:rFonts w:ascii="Helvetica" w:hAnsi="Helvetica" w:cs="Helvetica"/>
          <w:b/>
          <w:bCs/>
          <w:u w:val="single"/>
        </w:rPr>
        <w:t xml:space="preserve">Operating Surplus </w:t>
      </w:r>
      <w:r w:rsidR="00E0605A">
        <w:rPr>
          <w:rFonts w:ascii="Helvetica" w:hAnsi="Helvetica" w:cs="Helvetica"/>
          <w:b/>
          <w:bCs/>
          <w:u w:val="single"/>
        </w:rPr>
        <w:t>to be ring-fenced in “the V</w:t>
      </w:r>
      <w:r w:rsidRPr="0039581C">
        <w:rPr>
          <w:rFonts w:ascii="Helvetica" w:hAnsi="Helvetica" w:cs="Helvetica"/>
          <w:b/>
          <w:bCs/>
          <w:u w:val="single"/>
        </w:rPr>
        <w:t>illage</w:t>
      </w:r>
      <w:r w:rsidR="00E0605A">
        <w:rPr>
          <w:rFonts w:ascii="Helvetica" w:hAnsi="Helvetica" w:cs="Helvetica"/>
          <w:b/>
          <w:bCs/>
          <w:u w:val="single"/>
        </w:rPr>
        <w:t>”</w:t>
      </w:r>
    </w:p>
    <w:p w14:paraId="4B6A9308" w14:textId="4EF69C83" w:rsidR="00AC64EF" w:rsidRPr="0039581C" w:rsidRDefault="00AC64EF" w:rsidP="0039581C">
      <w:pPr>
        <w:pStyle w:val="NoSpacing"/>
        <w:ind w:left="720"/>
        <w:rPr>
          <w:rFonts w:ascii="Helvetica" w:hAnsi="Helvetica" w:cs="Helvetica"/>
        </w:rPr>
      </w:pPr>
      <w:r w:rsidRPr="0039581C">
        <w:rPr>
          <w:rFonts w:ascii="Helvetica" w:hAnsi="Helvetica" w:cs="Helvetica"/>
        </w:rPr>
        <w:t xml:space="preserve">As it is our intention to bring </w:t>
      </w:r>
      <w:r w:rsidR="00253ADD">
        <w:rPr>
          <w:rFonts w:ascii="Helvetica" w:hAnsi="Helvetica" w:cs="Helvetica"/>
        </w:rPr>
        <w:t>this Village</w:t>
      </w:r>
      <w:r w:rsidRPr="0039581C">
        <w:rPr>
          <w:rFonts w:ascii="Helvetica" w:hAnsi="Helvetica" w:cs="Helvetica"/>
        </w:rPr>
        <w:t xml:space="preserve"> from a loss-making entity in to a </w:t>
      </w:r>
      <w:r w:rsidR="00001AE5" w:rsidRPr="0039581C">
        <w:rPr>
          <w:rFonts w:ascii="Helvetica" w:hAnsi="Helvetica" w:cs="Helvetica"/>
        </w:rPr>
        <w:t>breakeven</w:t>
      </w:r>
      <w:r w:rsidR="00253ADD">
        <w:rPr>
          <w:rFonts w:ascii="Helvetica" w:hAnsi="Helvetica" w:cs="Helvetica"/>
        </w:rPr>
        <w:t xml:space="preserve"> </w:t>
      </w:r>
      <w:r w:rsidRPr="0039581C">
        <w:rPr>
          <w:rFonts w:ascii="Helvetica" w:hAnsi="Helvetica" w:cs="Helvetica"/>
        </w:rPr>
        <w:t>entity. From time-to-time villages will make a profit in a financial year. As the revenue is generated from resident levies any and all profits will remain “in the village” where discussions between Rescom and Management will determine how these funds will be disbursed.</w:t>
      </w:r>
      <w:r w:rsidR="00001AE5" w:rsidRPr="0039581C">
        <w:rPr>
          <w:rFonts w:ascii="Helvetica" w:hAnsi="Helvetica" w:cs="Helvetica"/>
        </w:rPr>
        <w:t xml:space="preserve"> Some of these ideas may include;</w:t>
      </w:r>
    </w:p>
    <w:p w14:paraId="69E2B98B" w14:textId="77777777" w:rsidR="0039581C" w:rsidRDefault="00AC64EF" w:rsidP="0039581C">
      <w:pPr>
        <w:pStyle w:val="NoSpacing"/>
        <w:numPr>
          <w:ilvl w:val="0"/>
          <w:numId w:val="6"/>
        </w:numPr>
        <w:rPr>
          <w:rFonts w:ascii="Helvetica" w:hAnsi="Helvetica" w:cs="Helvetica"/>
        </w:rPr>
      </w:pPr>
      <w:r w:rsidRPr="0039581C">
        <w:rPr>
          <w:rFonts w:ascii="Helvetica" w:hAnsi="Helvetica" w:cs="Helvetica"/>
        </w:rPr>
        <w:t xml:space="preserve">Capital Enhancements to the Village </w:t>
      </w:r>
    </w:p>
    <w:p w14:paraId="57153AAD" w14:textId="77777777" w:rsidR="0039581C" w:rsidRDefault="00AC64EF" w:rsidP="0039581C">
      <w:pPr>
        <w:pStyle w:val="NoSpacing"/>
        <w:numPr>
          <w:ilvl w:val="0"/>
          <w:numId w:val="6"/>
        </w:numPr>
        <w:rPr>
          <w:rFonts w:ascii="Helvetica" w:hAnsi="Helvetica" w:cs="Helvetica"/>
        </w:rPr>
      </w:pPr>
      <w:r w:rsidRPr="0039581C">
        <w:rPr>
          <w:rFonts w:ascii="Helvetica" w:hAnsi="Helvetica" w:cs="Helvetica"/>
        </w:rPr>
        <w:t xml:space="preserve">Introduction of new technologies (Security, renewable energy) </w:t>
      </w:r>
    </w:p>
    <w:p w14:paraId="6E344247" w14:textId="6478E6FF" w:rsidR="00AC64EF" w:rsidRDefault="00AC64EF" w:rsidP="0039581C">
      <w:pPr>
        <w:pStyle w:val="NoSpacing"/>
        <w:numPr>
          <w:ilvl w:val="0"/>
          <w:numId w:val="6"/>
        </w:numPr>
        <w:rPr>
          <w:rFonts w:ascii="Helvetica" w:hAnsi="Helvetica" w:cs="Helvetica"/>
        </w:rPr>
      </w:pPr>
      <w:r w:rsidRPr="0039581C">
        <w:rPr>
          <w:rFonts w:ascii="Helvetica" w:hAnsi="Helvetica" w:cs="Helvetica"/>
        </w:rPr>
        <w:t xml:space="preserve">Rebate on levies </w:t>
      </w:r>
    </w:p>
    <w:p w14:paraId="0D42B0E9" w14:textId="77777777" w:rsidR="0039581C" w:rsidRPr="0039581C" w:rsidRDefault="0039581C" w:rsidP="0039581C">
      <w:pPr>
        <w:pStyle w:val="NoSpacing"/>
        <w:ind w:left="1440"/>
        <w:rPr>
          <w:rFonts w:ascii="Helvetica" w:hAnsi="Helvetica" w:cs="Helvetica"/>
        </w:rPr>
      </w:pPr>
    </w:p>
    <w:p w14:paraId="4A9E20C5" w14:textId="345D552B" w:rsidR="00AC64EF" w:rsidRPr="0039581C" w:rsidRDefault="00AC64EF" w:rsidP="0039581C">
      <w:pPr>
        <w:rPr>
          <w:rFonts w:ascii="Helvetica" w:hAnsi="Helvetica" w:cs="Helvetica"/>
          <w:b/>
          <w:bCs/>
          <w:u w:val="single"/>
        </w:rPr>
      </w:pPr>
      <w:r w:rsidRPr="0039581C">
        <w:rPr>
          <w:rFonts w:ascii="Helvetica" w:hAnsi="Helvetica" w:cs="Helvetica"/>
        </w:rPr>
        <w:t xml:space="preserve">2.7) </w:t>
      </w:r>
      <w:r w:rsidRPr="0039581C">
        <w:rPr>
          <w:rFonts w:ascii="Helvetica" w:hAnsi="Helvetica" w:cs="Helvetica"/>
          <w:b/>
          <w:bCs/>
          <w:u w:val="single"/>
        </w:rPr>
        <w:t>Levy standardization</w:t>
      </w:r>
    </w:p>
    <w:p w14:paraId="100E5975" w14:textId="2D7DE639" w:rsidR="00AC64EF" w:rsidRDefault="00AC64EF" w:rsidP="006F38D9">
      <w:pPr>
        <w:pStyle w:val="NoSpacing"/>
        <w:ind w:firstLine="720"/>
        <w:rPr>
          <w:rFonts w:ascii="Helvetica" w:hAnsi="Helvetica" w:cs="Helvetica"/>
          <w:b/>
          <w:bCs/>
          <w:u w:val="single"/>
        </w:rPr>
      </w:pPr>
      <w:r w:rsidRPr="006F38D9">
        <w:rPr>
          <w:rFonts w:ascii="Helvetica" w:hAnsi="Helvetica" w:cs="Helvetica"/>
          <w:b/>
          <w:bCs/>
          <w:u w:val="single"/>
        </w:rPr>
        <w:t>Calculation of theoretical levy</w:t>
      </w:r>
    </w:p>
    <w:p w14:paraId="51F5D420" w14:textId="77777777" w:rsidR="006F38D9" w:rsidRPr="0039581C" w:rsidRDefault="006F38D9" w:rsidP="006F38D9">
      <w:pPr>
        <w:pStyle w:val="NoSpacing"/>
        <w:ind w:firstLine="720"/>
        <w:rPr>
          <w:b/>
          <w:bCs/>
        </w:rPr>
      </w:pPr>
    </w:p>
    <w:p w14:paraId="118AA1D7" w14:textId="5ED7AB09" w:rsidR="00AC64EF" w:rsidRDefault="00AC64EF" w:rsidP="006F38D9">
      <w:pPr>
        <w:pStyle w:val="NoSpacing"/>
        <w:ind w:left="720"/>
        <w:rPr>
          <w:rFonts w:ascii="Helvetica" w:hAnsi="Helvetica" w:cs="Helvetica"/>
        </w:rPr>
      </w:pPr>
      <w:r w:rsidRPr="006F38D9">
        <w:rPr>
          <w:rFonts w:ascii="Helvetica" w:hAnsi="Helvetica" w:cs="Helvetica"/>
        </w:rPr>
        <w:t>Revenue consists of fixed income (resident levies) - limited to the number of units per Village.  Operating costs should therefore be managed at levels below the fixed income mark.  A theoretical levy calculation assisted to determine these levels.  These newly determined levies form the base of all new LRA</w:t>
      </w:r>
      <w:r w:rsidR="00001AE5" w:rsidRPr="006F38D9">
        <w:rPr>
          <w:rFonts w:ascii="Helvetica" w:hAnsi="Helvetica" w:cs="Helvetica"/>
        </w:rPr>
        <w:t xml:space="preserve">’s signed </w:t>
      </w:r>
      <w:r w:rsidRPr="006F38D9">
        <w:rPr>
          <w:rFonts w:ascii="Helvetica" w:hAnsi="Helvetica" w:cs="Helvetica"/>
        </w:rPr>
        <w:t xml:space="preserve">effective 1 March 2022.  </w:t>
      </w:r>
    </w:p>
    <w:p w14:paraId="12C96931" w14:textId="77777777" w:rsidR="006F38D9" w:rsidRPr="006F38D9" w:rsidRDefault="006F38D9" w:rsidP="006F38D9">
      <w:pPr>
        <w:pStyle w:val="NoSpacing"/>
        <w:ind w:left="720"/>
        <w:rPr>
          <w:rFonts w:ascii="Helvetica" w:hAnsi="Helvetica" w:cs="Helvetica"/>
        </w:rPr>
      </w:pPr>
    </w:p>
    <w:p w14:paraId="2C1F6519" w14:textId="28EB793D" w:rsidR="006863AB" w:rsidRDefault="006863AB" w:rsidP="006F38D9">
      <w:pPr>
        <w:pStyle w:val="NoSpacing"/>
        <w:ind w:firstLine="720"/>
        <w:rPr>
          <w:rFonts w:ascii="Helvetica" w:hAnsi="Helvetica" w:cs="Helvetica"/>
          <w:b/>
          <w:bCs/>
          <w:u w:val="single"/>
        </w:rPr>
      </w:pPr>
      <w:r w:rsidRPr="006F38D9">
        <w:rPr>
          <w:rFonts w:ascii="Helvetica" w:hAnsi="Helvetica" w:cs="Helvetica"/>
          <w:b/>
          <w:bCs/>
          <w:u w:val="single"/>
        </w:rPr>
        <w:t xml:space="preserve">Treatment of the additional person levy </w:t>
      </w:r>
    </w:p>
    <w:p w14:paraId="6C96D5A0" w14:textId="77777777" w:rsidR="006F38D9" w:rsidRPr="006F38D9" w:rsidRDefault="006F38D9" w:rsidP="006F38D9">
      <w:pPr>
        <w:pStyle w:val="NoSpacing"/>
        <w:ind w:firstLine="720"/>
        <w:rPr>
          <w:rFonts w:ascii="Helvetica" w:hAnsi="Helvetica" w:cs="Helvetica"/>
          <w:b/>
          <w:bCs/>
          <w:u w:val="single"/>
        </w:rPr>
      </w:pPr>
    </w:p>
    <w:p w14:paraId="4B763EFB" w14:textId="77777777" w:rsidR="006863AB" w:rsidRPr="006F38D9" w:rsidRDefault="006863AB" w:rsidP="006F38D9">
      <w:pPr>
        <w:pStyle w:val="NoSpacing"/>
        <w:ind w:left="720"/>
        <w:rPr>
          <w:rFonts w:ascii="Helvetica" w:hAnsi="Helvetica" w:cs="Helvetica"/>
        </w:rPr>
      </w:pPr>
      <w:r w:rsidRPr="006F38D9">
        <w:rPr>
          <w:rFonts w:ascii="Helvetica" w:hAnsi="Helvetica" w:cs="Helvetica"/>
        </w:rPr>
        <w:t>As part of the calculation of the theoretical levy, we extrapolated the second person levy for the total levy income and we are now showing this separate. The principle applied is that all levies quoted are for single occupancy (basic levy) and a second person levy (additional person levy) will be charged over and above</w:t>
      </w:r>
    </w:p>
    <w:p w14:paraId="1BCC9D0C" w14:textId="13B18684" w:rsidR="00AC64EF" w:rsidRPr="0039581C" w:rsidRDefault="00AC64EF" w:rsidP="0039581C">
      <w:pPr>
        <w:pStyle w:val="NoSpacing"/>
      </w:pPr>
    </w:p>
    <w:p w14:paraId="1C822F6D" w14:textId="125B074A" w:rsidR="00AC64EF" w:rsidRPr="0039581C" w:rsidRDefault="00AC64EF" w:rsidP="0039581C">
      <w:pPr>
        <w:pStyle w:val="NoSpacing"/>
      </w:pPr>
    </w:p>
    <w:p w14:paraId="6BD79170" w14:textId="2B069988" w:rsidR="001A23EA" w:rsidRDefault="001A23EA" w:rsidP="001A23EA">
      <w:pPr>
        <w:pStyle w:val="NoSpacing"/>
        <w:numPr>
          <w:ilvl w:val="0"/>
          <w:numId w:val="3"/>
        </w:numPr>
        <w:rPr>
          <w:rFonts w:ascii="Helvetica" w:hAnsi="Helvetica" w:cs="Helvetica"/>
          <w:lang w:val="en-US"/>
        </w:rPr>
      </w:pPr>
      <w:r>
        <w:rPr>
          <w:rFonts w:ascii="Helvetica" w:hAnsi="Helvetica" w:cs="Helvetica"/>
          <w:b/>
          <w:bCs/>
          <w:u w:val="single"/>
          <w:lang w:val="en-US"/>
        </w:rPr>
        <w:t>MID-YEAR FORECAST</w:t>
      </w:r>
    </w:p>
    <w:p w14:paraId="373CB7E5" w14:textId="2F679C97" w:rsidR="001A23EA" w:rsidRDefault="001A23EA" w:rsidP="001A23EA">
      <w:pPr>
        <w:pStyle w:val="NoSpacing"/>
        <w:rPr>
          <w:rFonts w:ascii="Helvetica" w:hAnsi="Helvetica" w:cs="Helvetica"/>
          <w:lang w:val="en-US"/>
        </w:rPr>
      </w:pPr>
    </w:p>
    <w:p w14:paraId="34EF22E0" w14:textId="610DF638" w:rsidR="001A23EA" w:rsidRPr="0039581C" w:rsidRDefault="001A23EA" w:rsidP="001A23EA">
      <w:pPr>
        <w:pStyle w:val="NoSpacing"/>
        <w:ind w:left="360"/>
        <w:rPr>
          <w:rFonts w:ascii="Helvetica" w:hAnsi="Helvetica" w:cs="Helvetica"/>
          <w:lang w:val="en-US"/>
        </w:rPr>
      </w:pPr>
      <w:r>
        <w:rPr>
          <w:rFonts w:ascii="Helvetica" w:hAnsi="Helvetica" w:cs="Helvetica"/>
          <w:lang w:val="en-US"/>
        </w:rPr>
        <w:t>Actual implementation dates of above might vary from Budget assumption implementation date, thus an updated mid-year forecast will be prepared.</w:t>
      </w:r>
    </w:p>
    <w:p w14:paraId="5F69C87F" w14:textId="783D8C25" w:rsidR="006863AB" w:rsidRPr="0039581C" w:rsidRDefault="006863AB" w:rsidP="0039581C">
      <w:pPr>
        <w:pStyle w:val="NoSpacing"/>
      </w:pPr>
    </w:p>
    <w:p w14:paraId="6C3669BD" w14:textId="77777777" w:rsidR="006863AB" w:rsidRPr="0039581C" w:rsidRDefault="006863AB" w:rsidP="0039581C">
      <w:pPr>
        <w:pStyle w:val="NoSpacing"/>
      </w:pPr>
    </w:p>
    <w:p w14:paraId="4EF6922D" w14:textId="77777777" w:rsidR="00EF7E04" w:rsidRPr="0039581C" w:rsidRDefault="00EF7E04" w:rsidP="0039581C">
      <w:pPr>
        <w:pStyle w:val="NoSpacing"/>
      </w:pPr>
    </w:p>
    <w:p w14:paraId="5023A47A" w14:textId="77777777" w:rsidR="005D033C" w:rsidRPr="0039581C" w:rsidRDefault="005D033C" w:rsidP="0039581C">
      <w:pPr>
        <w:pStyle w:val="NoSpacing"/>
      </w:pPr>
    </w:p>
    <w:sectPr w:rsidR="005D033C" w:rsidRPr="0039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745"/>
    <w:multiLevelType w:val="hybridMultilevel"/>
    <w:tmpl w:val="1B2006C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1EC5B10"/>
    <w:multiLevelType w:val="hybridMultilevel"/>
    <w:tmpl w:val="DEFA9A0A"/>
    <w:lvl w:ilvl="0" w:tplc="0C323FAA">
      <w:start w:val="1"/>
      <w:numFmt w:val="decimal"/>
      <w:lvlText w:val="%1)"/>
      <w:lvlJc w:val="left"/>
      <w:pPr>
        <w:ind w:left="360" w:hanging="360"/>
      </w:pPr>
      <w:rPr>
        <w:rFonts w:ascii="Helvetica" w:eastAsiaTheme="minorHAnsi" w:hAnsi="Helvetica" w:cs="Helvetica"/>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75B2A60"/>
    <w:multiLevelType w:val="hybridMultilevel"/>
    <w:tmpl w:val="A91E8B5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86D3006"/>
    <w:multiLevelType w:val="hybridMultilevel"/>
    <w:tmpl w:val="09A0A53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6C3F77D8"/>
    <w:multiLevelType w:val="hybridMultilevel"/>
    <w:tmpl w:val="BB68F3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7B3B4CE1"/>
    <w:multiLevelType w:val="hybridMultilevel"/>
    <w:tmpl w:val="4AFE61F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64461047">
    <w:abstractNumId w:val="0"/>
  </w:num>
  <w:num w:numId="2" w16cid:durableId="1494644495">
    <w:abstractNumId w:val="3"/>
  </w:num>
  <w:num w:numId="3" w16cid:durableId="2054845467">
    <w:abstractNumId w:val="1"/>
  </w:num>
  <w:num w:numId="4" w16cid:durableId="1283194969">
    <w:abstractNumId w:val="5"/>
  </w:num>
  <w:num w:numId="5" w16cid:durableId="749228442">
    <w:abstractNumId w:val="2"/>
  </w:num>
  <w:num w:numId="6" w16cid:durableId="1547109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33"/>
    <w:rsid w:val="00001AE5"/>
    <w:rsid w:val="00042E7D"/>
    <w:rsid w:val="00063429"/>
    <w:rsid w:val="00083233"/>
    <w:rsid w:val="00085143"/>
    <w:rsid w:val="000D3DBB"/>
    <w:rsid w:val="000D735F"/>
    <w:rsid w:val="00174EDD"/>
    <w:rsid w:val="00191CBE"/>
    <w:rsid w:val="001A23EA"/>
    <w:rsid w:val="001A5CA2"/>
    <w:rsid w:val="00253ADD"/>
    <w:rsid w:val="002C18E8"/>
    <w:rsid w:val="002D4AB1"/>
    <w:rsid w:val="002F37CF"/>
    <w:rsid w:val="00342D22"/>
    <w:rsid w:val="0039581C"/>
    <w:rsid w:val="003D2748"/>
    <w:rsid w:val="00470D79"/>
    <w:rsid w:val="00471C45"/>
    <w:rsid w:val="004D71CC"/>
    <w:rsid w:val="005A6028"/>
    <w:rsid w:val="005D033C"/>
    <w:rsid w:val="005D7197"/>
    <w:rsid w:val="00631CBA"/>
    <w:rsid w:val="00632D64"/>
    <w:rsid w:val="006863AB"/>
    <w:rsid w:val="006F38D9"/>
    <w:rsid w:val="00717037"/>
    <w:rsid w:val="00745D4D"/>
    <w:rsid w:val="007853C6"/>
    <w:rsid w:val="007F1985"/>
    <w:rsid w:val="009663F7"/>
    <w:rsid w:val="009E050F"/>
    <w:rsid w:val="00AC64EF"/>
    <w:rsid w:val="00B23090"/>
    <w:rsid w:val="00B627ED"/>
    <w:rsid w:val="00B71B77"/>
    <w:rsid w:val="00BF2EE2"/>
    <w:rsid w:val="00C000BD"/>
    <w:rsid w:val="00C37F31"/>
    <w:rsid w:val="00CC2A33"/>
    <w:rsid w:val="00E0605A"/>
    <w:rsid w:val="00E92CA4"/>
    <w:rsid w:val="00EF7E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E65"/>
  <w15:chartTrackingRefBased/>
  <w15:docId w15:val="{4E163678-A4E7-4E40-8AE0-58F1D46F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CC"/>
    <w:pPr>
      <w:ind w:left="720"/>
      <w:contextualSpacing/>
    </w:pPr>
  </w:style>
  <w:style w:type="paragraph" w:styleId="NoSpacing">
    <w:name w:val="No Spacing"/>
    <w:uiPriority w:val="1"/>
    <w:qFormat/>
    <w:rsid w:val="00717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Reed</dc:creator>
  <cp:keywords/>
  <dc:description/>
  <cp:lastModifiedBy>Aletha Du Plessis</cp:lastModifiedBy>
  <cp:revision>5</cp:revision>
  <cp:lastPrinted>2022-04-07T11:51:00Z</cp:lastPrinted>
  <dcterms:created xsi:type="dcterms:W3CDTF">2022-04-08T13:26:00Z</dcterms:created>
  <dcterms:modified xsi:type="dcterms:W3CDTF">2022-04-08T14:44:00Z</dcterms:modified>
</cp:coreProperties>
</file>